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5112B262" w14:textId="77777777" w:rsidR="008F377E" w:rsidRDefault="008F377E" w:rsidP="008F377E">
      <w:pPr>
        <w:pStyle w:val="00Dokumenttitel"/>
      </w:pPr>
      <w:r>
        <w:fldChar w:fldCharType="begin">
          <w:ffData>
            <w:name w:val="start"/>
            <w:enabled/>
            <w:calcOnExit w:val="0"/>
            <w:textInput>
              <w:default w:val="Medienmitteilung"/>
            </w:textInput>
          </w:ffData>
        </w:fldChar>
      </w:r>
      <w:r>
        <w:instrText xml:space="preserve"> FORMTEXT </w:instrText>
      </w:r>
      <w:r>
        <w:fldChar w:fldCharType="separate"/>
      </w:r>
      <w:r w:rsidR="00512B2B">
        <w:rPr>
          <w:noProof/>
        </w:rPr>
        <w:t>Medienmitteilung</w:t>
      </w:r>
      <w:r>
        <w:fldChar w:fldCharType="end"/>
      </w:r>
      <w:bookmarkEnd w:id="0"/>
    </w:p>
    <w:p w14:paraId="55523709" w14:textId="77777777" w:rsidR="008F377E" w:rsidRPr="008F377E" w:rsidRDefault="008F377E" w:rsidP="008F377E">
      <w:pPr>
        <w:pStyle w:val="99AbstandvorTextbeginn"/>
      </w:pPr>
    </w:p>
    <w:bookmarkStart w:id="1" w:name="ort"/>
    <w:p w14:paraId="4E164184" w14:textId="46AA11EE" w:rsidR="008258D2" w:rsidRDefault="008F377E" w:rsidP="008258D2">
      <w:pPr>
        <w:pStyle w:val="02TextohneAbstand"/>
      </w:pPr>
      <w:r>
        <w:fldChar w:fldCharType="begin">
          <w:ffData>
            <w:name w:val="ort"/>
            <w:enabled/>
            <w:calcOnExit w:val="0"/>
            <w:textInput>
              <w:default w:val="Bern"/>
            </w:textInput>
          </w:ffData>
        </w:fldChar>
      </w:r>
      <w:r>
        <w:instrText xml:space="preserve"> FORMTEXT </w:instrText>
      </w:r>
      <w:r>
        <w:fldChar w:fldCharType="separate"/>
      </w:r>
      <w:r w:rsidR="00512B2B">
        <w:rPr>
          <w:noProof/>
        </w:rPr>
        <w:t>Bern</w:t>
      </w:r>
      <w:r>
        <w:fldChar w:fldCharType="end"/>
      </w:r>
      <w:bookmarkEnd w:id="1"/>
      <w:r w:rsidR="008258D2">
        <w:t xml:space="preserve">, </w:t>
      </w:r>
      <w:r w:rsidR="00832C43">
        <w:fldChar w:fldCharType="begin">
          <w:ffData>
            <w:name w:val="datum"/>
            <w:enabled/>
            <w:calcOnExit w:val="0"/>
            <w:exitMacro w:val="Textbeginn"/>
            <w:textInput>
              <w:default w:val="[Datum]"/>
            </w:textInput>
          </w:ffData>
        </w:fldChar>
      </w:r>
      <w:r w:rsidR="00832C43">
        <w:instrText xml:space="preserve"> FORMTEXT </w:instrText>
      </w:r>
      <w:r w:rsidR="00832C43">
        <w:fldChar w:fldCharType="separate"/>
      </w:r>
      <w:r w:rsidR="00832C43">
        <w:t>22</w:t>
      </w:r>
      <w:r w:rsidR="00832C43">
        <w:rPr>
          <w:noProof/>
        </w:rPr>
        <w:t>. Juni 202</w:t>
      </w:r>
      <w:r w:rsidR="00832C43">
        <w:rPr>
          <w:noProof/>
        </w:rPr>
        <w:t>6</w:t>
      </w:r>
      <w:r w:rsidR="00832C43">
        <w:fldChar w:fldCharType="end"/>
      </w:r>
    </w:p>
    <w:p w14:paraId="46DC3859" w14:textId="77777777" w:rsidR="00AA0E04" w:rsidRDefault="00AA0E04" w:rsidP="007D2785">
      <w:pPr>
        <w:pStyle w:val="99AbstandvorTextbeginn"/>
      </w:pPr>
    </w:p>
    <w:p w14:paraId="096A8E8B" w14:textId="77777777" w:rsidR="00F06F30" w:rsidRDefault="00F06F30" w:rsidP="008258D2">
      <w:pPr>
        <w:pStyle w:val="02TextohneAbstand"/>
        <w:sectPr w:rsidR="00F06F30"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57EB26AA" w14:textId="68E322F4" w:rsidR="00FE2473" w:rsidRDefault="004D78F0" w:rsidP="00DD03A6">
      <w:pPr>
        <w:pStyle w:val="01TitelMedienmitteilung"/>
      </w:pPr>
      <w:r w:rsidRPr="004D78F0">
        <w:t xml:space="preserve">Ernteprognose Getreide, Ölsaaten und Eiweisspflanzen </w:t>
      </w:r>
      <w:r w:rsidR="002C5A68" w:rsidRPr="004D78F0">
        <w:t>202</w:t>
      </w:r>
      <w:r w:rsidR="00832C43">
        <w:t>6</w:t>
      </w:r>
    </w:p>
    <w:p w14:paraId="754E00AB" w14:textId="2D3FBC80" w:rsidR="004D78F0" w:rsidRDefault="004D78F0" w:rsidP="003D5C32">
      <w:pPr>
        <w:pStyle w:val="02Lead"/>
      </w:pPr>
      <w:r w:rsidRPr="004D78F0">
        <w:t xml:space="preserve">Swiss granum schätzt die Ernte </w:t>
      </w:r>
      <w:r w:rsidR="00832C43" w:rsidRPr="004D78F0">
        <w:t>202</w:t>
      </w:r>
      <w:r w:rsidR="00832C43">
        <w:t>6</w:t>
      </w:r>
      <w:r w:rsidR="00832C43" w:rsidRPr="004D78F0">
        <w:t xml:space="preserve"> </w:t>
      </w:r>
      <w:r w:rsidRPr="004D78F0">
        <w:t xml:space="preserve">per </w:t>
      </w:r>
      <w:r w:rsidR="00CC4F18">
        <w:t>Ende Mai</w:t>
      </w:r>
      <w:r w:rsidRPr="004D78F0">
        <w:t xml:space="preserve"> auf </w:t>
      </w:r>
      <w:r w:rsidR="00175D94">
        <w:t xml:space="preserve">knapp </w:t>
      </w:r>
      <w:r w:rsidR="00832C43">
        <w:t>440</w:t>
      </w:r>
      <w:r w:rsidRPr="004D78F0">
        <w:t xml:space="preserve">‘000 t backfähiges Brotgetreide (inkl. allfällig nicht backfähiges Brotgetreide), </w:t>
      </w:r>
      <w:r w:rsidR="007B0D63">
        <w:t>rund 427</w:t>
      </w:r>
      <w:r w:rsidRPr="004D78F0">
        <w:t xml:space="preserve">‘000 t Futtergetreide (exkl. allfällig nicht backfähiges Brotgetreide), </w:t>
      </w:r>
      <w:r w:rsidR="00832C43">
        <w:t>rund</w:t>
      </w:r>
      <w:r w:rsidR="00832C43" w:rsidRPr="004D78F0">
        <w:t xml:space="preserve"> 1</w:t>
      </w:r>
      <w:r w:rsidR="00832C43">
        <w:t>1</w:t>
      </w:r>
      <w:r w:rsidRPr="004D78F0">
        <w:t xml:space="preserve">‘000 t Eiweisspflanzen und </w:t>
      </w:r>
      <w:r w:rsidR="00C47F82">
        <w:t xml:space="preserve">rund </w:t>
      </w:r>
      <w:r w:rsidR="00832C43" w:rsidRPr="004D78F0">
        <w:t>1</w:t>
      </w:r>
      <w:r w:rsidR="00832C43">
        <w:t>0</w:t>
      </w:r>
      <w:r w:rsidR="00832C43">
        <w:t>6</w:t>
      </w:r>
      <w:r w:rsidRPr="004D78F0">
        <w:t xml:space="preserve">‘000 t Ölsaaten. </w:t>
      </w:r>
      <w:r w:rsidR="00EA626E">
        <w:t>Ebenfalls</w:t>
      </w:r>
      <w:r w:rsidR="00A337D8">
        <w:t xml:space="preserve"> </w:t>
      </w:r>
      <w:r w:rsidR="006A2F9F">
        <w:t>enthalten ist eine Schätzung der Bio-Anteile der einzelnen Kulturen</w:t>
      </w:r>
      <w:r w:rsidR="00EA626E">
        <w:t xml:space="preserve"> sowie der Anteile weiterer Ackerkulturen für die menschliche Ernährung</w:t>
      </w:r>
      <w:r w:rsidR="006A2F9F">
        <w:t>.</w:t>
      </w:r>
      <w:r w:rsidR="00C47F82">
        <w:t xml:space="preserve"> Die Schätzung beruht auf Durchschnittserträgen der </w:t>
      </w:r>
      <w:r w:rsidR="00832C43">
        <w:t>Vorjahre</w:t>
      </w:r>
      <w:r w:rsidR="00C47F82">
        <w:t>.</w:t>
      </w:r>
      <w:r w:rsidR="00A47CB8">
        <w:t xml:space="preserve"> Insgesamt ist beim Getreide </w:t>
      </w:r>
      <w:r w:rsidR="00832C43">
        <w:t xml:space="preserve">ein Flächenzuwachs </w:t>
      </w:r>
      <w:r w:rsidR="00A47CB8">
        <w:t xml:space="preserve">und beim Raps ein Flächenrückgang festzustellen. </w:t>
      </w:r>
    </w:p>
    <w:p w14:paraId="243EE5B2" w14:textId="77777777" w:rsidR="00DD03A6" w:rsidRDefault="00DD03A6" w:rsidP="00DE2EB7">
      <w:pPr>
        <w:pStyle w:val="02Textnormal"/>
      </w:pPr>
    </w:p>
    <w:p w14:paraId="22B92845" w14:textId="6CAA5E7C" w:rsidR="004D78F0" w:rsidRDefault="004D78F0" w:rsidP="004D78F0">
      <w:pPr>
        <w:pStyle w:val="01Untertitel"/>
      </w:pPr>
      <w:r>
        <w:t>Backfähiges Brotgetreide</w:t>
      </w:r>
      <w:r w:rsidR="00502F7C">
        <w:t xml:space="preserve"> sowie Ackerkulturen für die menschliche Ernährung</w:t>
      </w:r>
    </w:p>
    <w:p w14:paraId="3A13E921" w14:textId="5A121C85" w:rsidR="00940440" w:rsidRDefault="004D78F0" w:rsidP="004D78F0">
      <w:pPr>
        <w:pStyle w:val="02Textnormal"/>
      </w:pPr>
      <w:bookmarkStart w:id="3" w:name="_Hlk73540079"/>
      <w:r>
        <w:t xml:space="preserve">Die aktuellen Schätzungen </w:t>
      </w:r>
      <w:r w:rsidR="00BE3F91">
        <w:t>sind gegenüber dem Ende Februar</w:t>
      </w:r>
      <w:r>
        <w:t xml:space="preserve"> festgestellten Trend</w:t>
      </w:r>
      <w:r w:rsidR="00BE3F91">
        <w:t xml:space="preserve"> annähernd gleichgeblieben</w:t>
      </w:r>
      <w:r>
        <w:t xml:space="preserve">. </w:t>
      </w:r>
      <w:r w:rsidR="00BE3F91">
        <w:t>Für Wintergetreide wird weiterhin mit durchschnittlichen Erträgen gerechnet</w:t>
      </w:r>
      <w:r w:rsidR="00BE3F91" w:rsidRPr="004D78F0">
        <w:t>.</w:t>
      </w:r>
      <w:r w:rsidR="00BE3F91">
        <w:t xml:space="preserve"> </w:t>
      </w:r>
      <w:r>
        <w:t>Die Brotgetreidefläche (</w:t>
      </w:r>
      <w:r w:rsidR="00BE3F91">
        <w:t>Weizen, Dinkel, Roggen, Emmer/Einkorn, Mischel</w:t>
      </w:r>
      <w:r>
        <w:t xml:space="preserve">) wird </w:t>
      </w:r>
      <w:r w:rsidR="00633FF3">
        <w:t xml:space="preserve">im Vergleich zum letzten Jahr insgesamt </w:t>
      </w:r>
      <w:r w:rsidR="00832C43">
        <w:t>höher</w:t>
      </w:r>
      <w:r w:rsidR="00625F83">
        <w:t xml:space="preserve"> </w:t>
      </w:r>
      <w:r>
        <w:t>eingeschätzt</w:t>
      </w:r>
      <w:r w:rsidR="00EA626E">
        <w:t xml:space="preserve"> </w:t>
      </w:r>
      <w:r w:rsidR="00832C43">
        <w:t>(</w:t>
      </w:r>
      <w:r w:rsidR="00832C43">
        <w:t>+</w:t>
      </w:r>
      <w:r w:rsidR="00832C43">
        <w:t xml:space="preserve"> </w:t>
      </w:r>
      <w:r w:rsidR="00832C43">
        <w:t>3.0</w:t>
      </w:r>
      <w:r w:rsidR="00EA626E">
        <w:t>%)</w:t>
      </w:r>
      <w:r>
        <w:t xml:space="preserve">. </w:t>
      </w:r>
      <w:r w:rsidR="007E7E78">
        <w:t xml:space="preserve">Ein </w:t>
      </w:r>
      <w:r w:rsidR="00832C43">
        <w:t xml:space="preserve">leichter </w:t>
      </w:r>
      <w:r w:rsidR="00625F83">
        <w:t xml:space="preserve">Rückgang </w:t>
      </w:r>
      <w:r w:rsidR="007E7E78">
        <w:t xml:space="preserve">gegenüber </w:t>
      </w:r>
      <w:r w:rsidR="00832C43">
        <w:t>202</w:t>
      </w:r>
      <w:r w:rsidR="00832C43">
        <w:t>5</w:t>
      </w:r>
      <w:r w:rsidR="00832C43">
        <w:t xml:space="preserve"> </w:t>
      </w:r>
      <w:r w:rsidR="007E7E78">
        <w:t xml:space="preserve">ist bei der Bio-Brotgetreidefläche </w:t>
      </w:r>
      <w:r w:rsidR="00625F83">
        <w:t xml:space="preserve">(- </w:t>
      </w:r>
      <w:r w:rsidR="00175D94">
        <w:t>3.</w:t>
      </w:r>
      <w:r w:rsidR="00832C43">
        <w:t>0</w:t>
      </w:r>
      <w:r w:rsidR="007E7E78">
        <w:t>%) zu erwarten</w:t>
      </w:r>
      <w:r w:rsidR="00832C43">
        <w:t xml:space="preserve">, eine Flächenzunahme </w:t>
      </w:r>
      <w:r w:rsidR="00832C43">
        <w:t>insbesondere bei der Brotweizenfläche (</w:t>
      </w:r>
      <w:r w:rsidR="00832C43">
        <w:t>+</w:t>
      </w:r>
      <w:r w:rsidR="00832C43">
        <w:t xml:space="preserve"> </w:t>
      </w:r>
      <w:r w:rsidR="00832C43">
        <w:t>3</w:t>
      </w:r>
      <w:r w:rsidR="00832C43">
        <w:t xml:space="preserve">.3%, </w:t>
      </w:r>
      <w:r w:rsidR="00832C43">
        <w:t>+</w:t>
      </w:r>
      <w:r w:rsidR="00832C43">
        <w:t xml:space="preserve"> </w:t>
      </w:r>
      <w:r w:rsidR="00832C43">
        <w:t>2’408</w:t>
      </w:r>
      <w:r w:rsidR="00832C43">
        <w:t xml:space="preserve"> ha)</w:t>
      </w:r>
      <w:r w:rsidR="007E7E78">
        <w:t xml:space="preserve">. </w:t>
      </w:r>
      <w:r>
        <w:t xml:space="preserve">Verglichen zum Vorjahr </w:t>
      </w:r>
      <w:r w:rsidR="00832C43">
        <w:t>sind keine grossen Veränderungen bei den</w:t>
      </w:r>
      <w:r>
        <w:t xml:space="preserve"> </w:t>
      </w:r>
      <w:r w:rsidR="00832C43">
        <w:t>Brotw</w:t>
      </w:r>
      <w:r>
        <w:t>eizenklasse</w:t>
      </w:r>
      <w:r w:rsidR="006B3910">
        <w:t>n</w:t>
      </w:r>
      <w:r>
        <w:t xml:space="preserve"> festzustellen. </w:t>
      </w:r>
      <w:r w:rsidR="00DA1A87">
        <w:t xml:space="preserve">Die Hartweizenfläche wird wie </w:t>
      </w:r>
      <w:r w:rsidR="00502F7C">
        <w:t xml:space="preserve">für die </w:t>
      </w:r>
      <w:r w:rsidR="00DA1A87">
        <w:t>übrige</w:t>
      </w:r>
      <w:r w:rsidR="00502F7C">
        <w:t>n</w:t>
      </w:r>
      <w:r w:rsidR="00DA1A87">
        <w:t xml:space="preserve"> </w:t>
      </w:r>
      <w:r w:rsidR="00502F7C">
        <w:t xml:space="preserve">Ackerkulturen </w:t>
      </w:r>
      <w:r w:rsidR="00DA1A87">
        <w:t xml:space="preserve">für die Nahrungsmittelproduktion separat ausgewiesen und beträgt </w:t>
      </w:r>
      <w:r w:rsidR="00832C43">
        <w:t>165</w:t>
      </w:r>
      <w:r w:rsidR="00625F83">
        <w:t xml:space="preserve"> </w:t>
      </w:r>
      <w:r w:rsidR="00DA1A87">
        <w:t>ha.</w:t>
      </w:r>
    </w:p>
    <w:p w14:paraId="07FE66D2" w14:textId="024539B2" w:rsidR="00794EA2" w:rsidRDefault="004D78F0" w:rsidP="004D78F0">
      <w:pPr>
        <w:pStyle w:val="02Textnormal"/>
      </w:pPr>
      <w:r>
        <w:t xml:space="preserve">Die Erntemenge an backfähigem Brotgetreide </w:t>
      </w:r>
      <w:bookmarkStart w:id="4" w:name="_Hlk138079587"/>
      <w:r w:rsidR="00832C43">
        <w:t>202</w:t>
      </w:r>
      <w:r w:rsidR="00832C43">
        <w:t>6</w:t>
      </w:r>
      <w:r w:rsidR="00832C43">
        <w:t xml:space="preserve"> </w:t>
      </w:r>
      <w:r w:rsidR="00156B74">
        <w:t xml:space="preserve">(exkl. Saatgut) </w:t>
      </w:r>
      <w:bookmarkEnd w:id="4"/>
      <w:r>
        <w:t xml:space="preserve">wird insgesamt auf ca. </w:t>
      </w:r>
      <w:r w:rsidR="00832C43">
        <w:t>440</w:t>
      </w:r>
      <w:r>
        <w:t xml:space="preserve">‘000 t geschätzt und </w:t>
      </w:r>
      <w:r w:rsidR="00832C43">
        <w:t>ist damit vergleichbar zur Vorjahresmenge</w:t>
      </w:r>
      <w:r>
        <w:t xml:space="preserve">. </w:t>
      </w:r>
      <w:r w:rsidR="00E13079">
        <w:t xml:space="preserve">Von dieser Menge fallen rund </w:t>
      </w:r>
      <w:r w:rsidR="00832C43">
        <w:t>41</w:t>
      </w:r>
      <w:r w:rsidR="00832C43">
        <w:t xml:space="preserve">'000 </w:t>
      </w:r>
      <w:r w:rsidR="00E13079">
        <w:t xml:space="preserve">t in Bioqualität an, was </w:t>
      </w:r>
      <w:r w:rsidR="00832C43">
        <w:t>eine</w:t>
      </w:r>
      <w:r w:rsidR="00832C43">
        <w:t>m</w:t>
      </w:r>
      <w:r w:rsidR="00832C43">
        <w:t xml:space="preserve"> </w:t>
      </w:r>
      <w:r w:rsidR="00794EA2">
        <w:t xml:space="preserve">leichten </w:t>
      </w:r>
      <w:r w:rsidR="00832C43">
        <w:t>Rückgang</w:t>
      </w:r>
      <w:r w:rsidR="00832C43">
        <w:t xml:space="preserve"> </w:t>
      </w:r>
      <w:r w:rsidR="00E13079">
        <w:t xml:space="preserve">des Biobrotgetreides gegenüber dem </w:t>
      </w:r>
      <w:r w:rsidR="00B270A6">
        <w:t xml:space="preserve">Jahr </w:t>
      </w:r>
      <w:r w:rsidR="00832C43">
        <w:t>202</w:t>
      </w:r>
      <w:r w:rsidR="00832C43">
        <w:t>5</w:t>
      </w:r>
      <w:r w:rsidR="00832C43">
        <w:t xml:space="preserve"> </w:t>
      </w:r>
      <w:r w:rsidR="00E13079">
        <w:t xml:space="preserve">entspricht. </w:t>
      </w:r>
      <w:bookmarkEnd w:id="3"/>
      <w:r w:rsidR="00B270A6">
        <w:t xml:space="preserve">Es wird eine Dinkelmenge von </w:t>
      </w:r>
      <w:r w:rsidR="00832C43">
        <w:t xml:space="preserve">knapp </w:t>
      </w:r>
      <w:r w:rsidR="00940440">
        <w:t>2</w:t>
      </w:r>
      <w:r w:rsidR="00832C43">
        <w:t>5</w:t>
      </w:r>
      <w:r w:rsidR="00940440">
        <w:t xml:space="preserve">'000 </w:t>
      </w:r>
      <w:r w:rsidR="00B270A6">
        <w:t xml:space="preserve">t erwartet, diese Menge liegt um </w:t>
      </w:r>
      <w:r w:rsidR="00832C43">
        <w:t>rund</w:t>
      </w:r>
      <w:r w:rsidR="00832C43">
        <w:t xml:space="preserve"> 1</w:t>
      </w:r>
      <w:r w:rsidR="00832C43">
        <w:t>2</w:t>
      </w:r>
      <w:r w:rsidR="00B270A6">
        <w:t xml:space="preserve">% </w:t>
      </w:r>
      <w:r w:rsidR="00832C43">
        <w:t>höher</w:t>
      </w:r>
      <w:r w:rsidR="00832C43">
        <w:t xml:space="preserve"> </w:t>
      </w:r>
      <w:r w:rsidR="00B270A6">
        <w:t xml:space="preserve">als </w:t>
      </w:r>
      <w:r w:rsidR="00940440">
        <w:t>202</w:t>
      </w:r>
      <w:r w:rsidR="00832C43">
        <w:t>5</w:t>
      </w:r>
      <w:r w:rsidR="00B270A6">
        <w:t>.</w:t>
      </w:r>
    </w:p>
    <w:p w14:paraId="344A9757" w14:textId="3A28E219" w:rsidR="004D78F0" w:rsidRDefault="00940440" w:rsidP="004D78F0">
      <w:pPr>
        <w:pStyle w:val="02Textnormal"/>
      </w:pPr>
      <w:r>
        <w:t xml:space="preserve">Die Schätzung beruht auf Durchschnittserträgen der </w:t>
      </w:r>
      <w:r w:rsidR="009522E1">
        <w:t>Vorjahre</w:t>
      </w:r>
      <w:r>
        <w:t>. Ob diese erreicht werden können, kann aktuell noch nicht abgeschätzt werden. Daher ist die Ernteschätzung mit entsprechender Vorsicht zu geniessen. Denn e</w:t>
      </w:r>
      <w:r w:rsidR="004D78F0">
        <w:t xml:space="preserve">in zurzeit noch nicht quantifizierbarer Teil </w:t>
      </w:r>
      <w:bookmarkStart w:id="5" w:name="_Hlk73540092"/>
      <w:r w:rsidR="00E13079">
        <w:t xml:space="preserve">der Brotgetreidemenge </w:t>
      </w:r>
      <w:bookmarkEnd w:id="5"/>
      <w:r w:rsidR="004D78F0">
        <w:t>kann bei der Ernte wegen Qualitätsmängeln voraussichtlich noch als nicht backfähig deklariert und im Futterkanal abgesetzt werden. In der geschätzten Brotgetreidemenge ist diese Menge aktuell noch enthalten.</w:t>
      </w:r>
    </w:p>
    <w:p w14:paraId="2C9CA7E5" w14:textId="77777777" w:rsidR="004D78F0" w:rsidRDefault="004D78F0" w:rsidP="004D78F0">
      <w:pPr>
        <w:pStyle w:val="02TextohneAbstand"/>
      </w:pPr>
    </w:p>
    <w:p w14:paraId="10E1B404" w14:textId="77777777" w:rsidR="004D78F0" w:rsidRDefault="004D78F0" w:rsidP="004D78F0">
      <w:pPr>
        <w:pStyle w:val="01Untertitel"/>
      </w:pPr>
      <w:r>
        <w:t>Futtergetreide</w:t>
      </w:r>
    </w:p>
    <w:p w14:paraId="3DC3BD4B" w14:textId="17793925" w:rsidR="004D78F0" w:rsidRDefault="004D78F0" w:rsidP="004D78F0">
      <w:pPr>
        <w:pStyle w:val="02Textnormal"/>
      </w:pPr>
      <w:r>
        <w:t xml:space="preserve">Auch beim Futtergetreide liegen die aktuellen Einschätzungen </w:t>
      </w:r>
      <w:bookmarkStart w:id="6" w:name="_Hlk73540137"/>
      <w:r w:rsidR="00DA1A87">
        <w:t>in der gleichen Grössenordnung wie Ende Februar</w:t>
      </w:r>
      <w:bookmarkEnd w:id="6"/>
      <w:r>
        <w:t xml:space="preserve">. Insgesamt wird die Anbaufläche (ohne Körnermais) </w:t>
      </w:r>
      <w:r w:rsidR="00624CFE">
        <w:t xml:space="preserve">im Vergleich zum </w:t>
      </w:r>
      <w:r>
        <w:t>Vorjahr</w:t>
      </w:r>
      <w:r w:rsidR="00624CFE">
        <w:t xml:space="preserve"> </w:t>
      </w:r>
      <w:bookmarkStart w:id="7" w:name="_Hlk138079805"/>
      <w:r w:rsidR="00156B74">
        <w:t xml:space="preserve">um </w:t>
      </w:r>
      <w:r w:rsidR="00BF0304">
        <w:t>2.</w:t>
      </w:r>
      <w:r w:rsidR="009522E1">
        <w:t>0</w:t>
      </w:r>
      <w:r w:rsidR="00156B74">
        <w:t xml:space="preserve">% </w:t>
      </w:r>
      <w:bookmarkEnd w:id="7"/>
      <w:r w:rsidR="009522E1">
        <w:t>höher</w:t>
      </w:r>
      <w:r w:rsidR="009522E1">
        <w:t xml:space="preserve"> </w:t>
      </w:r>
      <w:r w:rsidR="00624CFE">
        <w:t>eingeschätzt</w:t>
      </w:r>
      <w:r>
        <w:t xml:space="preserve">. </w:t>
      </w:r>
      <w:bookmarkStart w:id="8" w:name="_Hlk138079820"/>
      <w:r w:rsidR="005275C1">
        <w:t xml:space="preserve">Den grössten Anteil an dieser Entwicklung </w:t>
      </w:r>
      <w:r w:rsidR="00BF0304">
        <w:t xml:space="preserve">tragen </w:t>
      </w:r>
      <w:r w:rsidR="005275C1">
        <w:t xml:space="preserve">die </w:t>
      </w:r>
      <w:r w:rsidR="00BF0304">
        <w:t>Gerste und der Futterweizen.</w:t>
      </w:r>
      <w:r w:rsidR="005275C1">
        <w:t xml:space="preserve"> </w:t>
      </w:r>
      <w:r w:rsidR="00BF0304">
        <w:t>B</w:t>
      </w:r>
      <w:r w:rsidR="005275C1">
        <w:t xml:space="preserve">ei </w:t>
      </w:r>
      <w:r w:rsidR="00BF0304">
        <w:t xml:space="preserve">der Gerste </w:t>
      </w:r>
      <w:r w:rsidR="009522E1">
        <w:t>steigt</w:t>
      </w:r>
      <w:r w:rsidR="009522E1">
        <w:t xml:space="preserve"> </w:t>
      </w:r>
      <w:r w:rsidR="005275C1">
        <w:t xml:space="preserve">der Nicht-Bio-Anteil um </w:t>
      </w:r>
      <w:r w:rsidR="007B0D63">
        <w:t>545</w:t>
      </w:r>
      <w:r w:rsidR="007B0D63">
        <w:t xml:space="preserve"> </w:t>
      </w:r>
      <w:r w:rsidR="005275C1">
        <w:t xml:space="preserve">ha bzw. </w:t>
      </w:r>
      <w:r w:rsidR="00BF0304">
        <w:t>2.</w:t>
      </w:r>
      <w:r w:rsidR="007B0D63">
        <w:t>3</w:t>
      </w:r>
      <w:r w:rsidR="005275C1">
        <w:t>%</w:t>
      </w:r>
      <w:r w:rsidR="007B0D63">
        <w:t>,</w:t>
      </w:r>
      <w:r w:rsidR="00BF0304">
        <w:t xml:space="preserve"> </w:t>
      </w:r>
      <w:r w:rsidR="007B0D63">
        <w:t>d</w:t>
      </w:r>
      <w:r w:rsidR="00156B74">
        <w:t xml:space="preserve">ie Futterweizenfläche dürfte </w:t>
      </w:r>
      <w:r w:rsidR="00BF0304">
        <w:t xml:space="preserve">insgesamt </w:t>
      </w:r>
      <w:r w:rsidR="00156B74">
        <w:t xml:space="preserve">um </w:t>
      </w:r>
      <w:r w:rsidR="00940440">
        <w:t xml:space="preserve">knapp </w:t>
      </w:r>
      <w:r w:rsidR="007B0D63">
        <w:t>2</w:t>
      </w:r>
      <w:r w:rsidR="00156B74">
        <w:t xml:space="preserve">% </w:t>
      </w:r>
      <w:r w:rsidR="007B0D63">
        <w:t>zunehmen</w:t>
      </w:r>
      <w:r w:rsidR="00156B74">
        <w:t xml:space="preserve">. </w:t>
      </w:r>
      <w:bookmarkEnd w:id="8"/>
      <w:r>
        <w:t>Die Körnermaisfläche kann im Moment noch nicht abgeschätzt werden.</w:t>
      </w:r>
    </w:p>
    <w:p w14:paraId="59A427E5" w14:textId="77777777" w:rsidR="00C71F9C" w:rsidRDefault="00C71F9C" w:rsidP="004D78F0">
      <w:pPr>
        <w:pStyle w:val="02Textnormal"/>
      </w:pPr>
    </w:p>
    <w:p w14:paraId="465AC639" w14:textId="5C5667F2" w:rsidR="00EF0866" w:rsidRDefault="004D78F0" w:rsidP="004C4AF8">
      <w:pPr>
        <w:pStyle w:val="02Textnormal"/>
      </w:pPr>
      <w:bookmarkStart w:id="9" w:name="_Hlk73540284"/>
      <w:r>
        <w:t>Bei</w:t>
      </w:r>
      <w:r w:rsidR="00E13079">
        <w:t>m</w:t>
      </w:r>
      <w:r>
        <w:t xml:space="preserve"> Futter</w:t>
      </w:r>
      <w:r w:rsidR="00E13079">
        <w:t>weizen</w:t>
      </w:r>
      <w:r>
        <w:t xml:space="preserve"> ist </w:t>
      </w:r>
      <w:r w:rsidR="00E13079">
        <w:t xml:space="preserve">mit </w:t>
      </w:r>
      <w:r w:rsidR="00156B74">
        <w:t xml:space="preserve">rund </w:t>
      </w:r>
      <w:r w:rsidR="007B0D63">
        <w:t>55</w:t>
      </w:r>
      <w:r w:rsidR="007B0D63">
        <w:t xml:space="preserve">'000 </w:t>
      </w:r>
      <w:r w:rsidR="00E13079">
        <w:t xml:space="preserve">t </w:t>
      </w:r>
      <w:r>
        <w:t xml:space="preserve">eine </w:t>
      </w:r>
      <w:r w:rsidR="00BF0304">
        <w:t xml:space="preserve">tiefere </w:t>
      </w:r>
      <w:r>
        <w:t xml:space="preserve">Erntemenge </w:t>
      </w:r>
      <w:r w:rsidR="00BF0304">
        <w:t xml:space="preserve">als </w:t>
      </w:r>
      <w:r w:rsidR="007B0D63">
        <w:t>202</w:t>
      </w:r>
      <w:r w:rsidR="007B0D63">
        <w:t>5</w:t>
      </w:r>
      <w:r w:rsidR="007B0D63">
        <w:t xml:space="preserve"> </w:t>
      </w:r>
      <w:r>
        <w:t xml:space="preserve">zu erwarten. </w:t>
      </w:r>
      <w:bookmarkStart w:id="10" w:name="_Hlk138079980"/>
      <w:r w:rsidR="00E13079">
        <w:t>D</w:t>
      </w:r>
      <w:r>
        <w:t xml:space="preserve">ie Gerstenernte </w:t>
      </w:r>
      <w:r w:rsidR="00E13079">
        <w:t xml:space="preserve">wie auch die Erntemenge von Triticale werden </w:t>
      </w:r>
      <w:r w:rsidR="007B0D63">
        <w:t>in der gleichen Grössenordnung wie im Vorjahr</w:t>
      </w:r>
      <w:r w:rsidR="00A33524">
        <w:t xml:space="preserve"> </w:t>
      </w:r>
      <w:r>
        <w:t>erwartet.</w:t>
      </w:r>
      <w:r w:rsidR="00E06A89">
        <w:t xml:space="preserve"> </w:t>
      </w:r>
      <w:bookmarkEnd w:id="9"/>
      <w:bookmarkEnd w:id="10"/>
      <w:r>
        <w:t xml:space="preserve">Die </w:t>
      </w:r>
      <w:r w:rsidR="00E06A89">
        <w:t>Ernte</w:t>
      </w:r>
      <w:r w:rsidR="005275C1">
        <w:t>menge</w:t>
      </w:r>
      <w:r w:rsidR="00E06A89">
        <w:t xml:space="preserve"> </w:t>
      </w:r>
      <w:r w:rsidR="007B0D63">
        <w:t>202</w:t>
      </w:r>
      <w:r w:rsidR="007B0D63">
        <w:t>6</w:t>
      </w:r>
      <w:r w:rsidR="007B0D63">
        <w:t xml:space="preserve"> </w:t>
      </w:r>
      <w:r w:rsidR="00E06A89">
        <w:t xml:space="preserve">von Futterweizen, Gerste, Triticale, Hafer und Mischel Futtergetreide </w:t>
      </w:r>
      <w:r>
        <w:t xml:space="preserve">wird insgesamt auf </w:t>
      </w:r>
      <w:r w:rsidR="00E13079">
        <w:t>run</w:t>
      </w:r>
      <w:r w:rsidR="006A2F9F">
        <w:t>d</w:t>
      </w:r>
      <w:r w:rsidR="00E13079">
        <w:t xml:space="preserve"> </w:t>
      </w:r>
      <w:r w:rsidR="007B0D63">
        <w:t>2</w:t>
      </w:r>
      <w:r w:rsidR="007B0D63">
        <w:t>77</w:t>
      </w:r>
      <w:r>
        <w:t>‘000 t geschätzt</w:t>
      </w:r>
      <w:bookmarkStart w:id="11" w:name="_Hlk73540321"/>
      <w:r w:rsidR="00AD6C97">
        <w:t xml:space="preserve">. Sie liegt damit </w:t>
      </w:r>
      <w:r w:rsidR="007B0D63">
        <w:t>leicht über</w:t>
      </w:r>
      <w:r w:rsidR="007B0D63">
        <w:t xml:space="preserve"> </w:t>
      </w:r>
      <w:r w:rsidR="00C71F9C">
        <w:t xml:space="preserve">der Menge </w:t>
      </w:r>
      <w:r w:rsidR="003C31D6">
        <w:t xml:space="preserve">des Jahres </w:t>
      </w:r>
      <w:r w:rsidR="007B0D63">
        <w:t>202</w:t>
      </w:r>
      <w:r w:rsidR="007B0D63">
        <w:t>5</w:t>
      </w:r>
      <w:r w:rsidR="00AD6C97">
        <w:t xml:space="preserve">. Die gesamte </w:t>
      </w:r>
      <w:r w:rsidR="00AD6C97">
        <w:lastRenderedPageBreak/>
        <w:t xml:space="preserve">Futtergetreideernte (inkl. Körnermais) wird auf </w:t>
      </w:r>
      <w:r w:rsidR="007B0D63">
        <w:t>rund</w:t>
      </w:r>
      <w:r w:rsidR="007B0D63">
        <w:t xml:space="preserve"> </w:t>
      </w:r>
      <w:r w:rsidR="007B0D63">
        <w:t>427</w:t>
      </w:r>
      <w:r w:rsidR="007B0D63">
        <w:t xml:space="preserve">'000 </w:t>
      </w:r>
      <w:r w:rsidR="00AD6C97">
        <w:t>t prognostiziert</w:t>
      </w:r>
      <w:bookmarkEnd w:id="11"/>
      <w:r>
        <w:t>. Darin nicht inbegriffen ist die allfällig nicht backfähige Menge an Brotgetreide, welche aktuell noch nicht quantifizierbar is</w:t>
      </w:r>
      <w:r w:rsidR="00A33524">
        <w:t>t</w:t>
      </w:r>
      <w:r>
        <w:t>. Diese Menge ist abhängig vom Witterungsverlauf und den Erntebedingungen.</w:t>
      </w:r>
    </w:p>
    <w:p w14:paraId="229A8BCD" w14:textId="77777777" w:rsidR="00C71F9C" w:rsidRDefault="00C71F9C" w:rsidP="004C4AF8">
      <w:pPr>
        <w:pStyle w:val="02Textnormal"/>
        <w:rPr>
          <w:b/>
        </w:rPr>
      </w:pPr>
    </w:p>
    <w:p w14:paraId="099351B5" w14:textId="68CE1DD1" w:rsidR="004D78F0" w:rsidRDefault="004D78F0" w:rsidP="004D78F0">
      <w:pPr>
        <w:pStyle w:val="01Untertitel"/>
      </w:pPr>
      <w:r>
        <w:t>Ölsaaten / Eiweisspflanzen</w:t>
      </w:r>
    </w:p>
    <w:p w14:paraId="73B252E2" w14:textId="699A3AA2" w:rsidR="004D78F0" w:rsidRDefault="004D78F0" w:rsidP="004D78F0">
      <w:pPr>
        <w:pStyle w:val="02Textnormal"/>
      </w:pPr>
      <w:r>
        <w:t xml:space="preserve">Die Erntemengen der Ölsaaten werden </w:t>
      </w:r>
      <w:r w:rsidR="002713A6">
        <w:t xml:space="preserve">gleich </w:t>
      </w:r>
      <w:r>
        <w:t xml:space="preserve">eingeschätzt </w:t>
      </w:r>
      <w:r w:rsidR="002713A6">
        <w:t>wie</w:t>
      </w:r>
      <w:r>
        <w:t xml:space="preserve"> </w:t>
      </w:r>
      <w:r w:rsidR="00C71F9C">
        <w:t>Ende Februar</w:t>
      </w:r>
      <w:r>
        <w:t xml:space="preserve">. </w:t>
      </w:r>
      <w:bookmarkStart w:id="12" w:name="_Hlk73540495"/>
      <w:r>
        <w:t xml:space="preserve">Die Ölsaatenernte wird mit insgesamt </w:t>
      </w:r>
      <w:r w:rsidR="007B0D63">
        <w:t>rund</w:t>
      </w:r>
      <w:r w:rsidR="007B0D63">
        <w:t xml:space="preserve"> 10</w:t>
      </w:r>
      <w:r w:rsidR="007B0D63">
        <w:t>6</w:t>
      </w:r>
      <w:r>
        <w:t xml:space="preserve">‘000 t um </w:t>
      </w:r>
      <w:r w:rsidR="007B0D63">
        <w:t>9.5</w:t>
      </w:r>
      <w:r>
        <w:t xml:space="preserve">% </w:t>
      </w:r>
      <w:r w:rsidR="003C31D6">
        <w:t xml:space="preserve">tiefer </w:t>
      </w:r>
      <w:r>
        <w:t>eingeschätzt als im Jahr</w:t>
      </w:r>
      <w:r w:rsidR="002713A6">
        <w:t xml:space="preserve"> </w:t>
      </w:r>
      <w:r w:rsidR="007B0D63">
        <w:t>202</w:t>
      </w:r>
      <w:r w:rsidR="007B0D63">
        <w:t>5</w:t>
      </w:r>
      <w:r>
        <w:t xml:space="preserve">. Von dieser Erntemenge entfallen in diesem Jahr </w:t>
      </w:r>
      <w:r w:rsidR="007B0D63">
        <w:t>7</w:t>
      </w:r>
      <w:r w:rsidR="007B0D63">
        <w:t>5</w:t>
      </w:r>
      <w:r>
        <w:t>‘</w:t>
      </w:r>
      <w:r w:rsidR="007B0D63">
        <w:t>6</w:t>
      </w:r>
      <w:r w:rsidR="007B0D63">
        <w:t xml:space="preserve">00 </w:t>
      </w:r>
      <w:r>
        <w:t>t auf die Raps</w:t>
      </w:r>
      <w:r w:rsidR="006A2F9F">
        <w:t xml:space="preserve">- und </w:t>
      </w:r>
      <w:r w:rsidR="007B0D63">
        <w:t>2</w:t>
      </w:r>
      <w:r w:rsidR="007B0D63">
        <w:t>1</w:t>
      </w:r>
      <w:r w:rsidR="007B0D63">
        <w:t>'</w:t>
      </w:r>
      <w:r w:rsidR="007B0D63">
        <w:t>6</w:t>
      </w:r>
      <w:r w:rsidR="007B0D63">
        <w:t xml:space="preserve">00 </w:t>
      </w:r>
      <w:r w:rsidR="006A2F9F">
        <w:t>t auf die Sonnenblumen</w:t>
      </w:r>
      <w:r>
        <w:t>produktion</w:t>
      </w:r>
      <w:bookmarkEnd w:id="12"/>
      <w:r>
        <w:t xml:space="preserve">. </w:t>
      </w:r>
      <w:bookmarkStart w:id="13" w:name="_Hlk169075852"/>
      <w:r w:rsidR="002713A6">
        <w:t xml:space="preserve">Sie </w:t>
      </w:r>
      <w:r w:rsidR="00EB2866">
        <w:t>dürfte</w:t>
      </w:r>
      <w:r w:rsidR="002713A6">
        <w:t xml:space="preserve"> im Vergleich mit dem </w:t>
      </w:r>
      <w:r w:rsidR="003C31D6">
        <w:t xml:space="preserve">letzten </w:t>
      </w:r>
      <w:r w:rsidR="002713A6">
        <w:t xml:space="preserve">Jahr um </w:t>
      </w:r>
      <w:r w:rsidR="007B0D63">
        <w:t>je 9.4</w:t>
      </w:r>
      <w:r w:rsidR="00EB2866">
        <w:t xml:space="preserve">% </w:t>
      </w:r>
      <w:r w:rsidR="007B0D63">
        <w:t>tiefer</w:t>
      </w:r>
      <w:r w:rsidR="00EB2866">
        <w:t xml:space="preserve"> ausfallen.</w:t>
      </w:r>
      <w:r w:rsidR="00C71F9C">
        <w:t xml:space="preserve"> </w:t>
      </w:r>
      <w:bookmarkEnd w:id="13"/>
      <w:r w:rsidR="003C31D6">
        <w:t>Mit den prognostizierten Erntemengen</w:t>
      </w:r>
      <w:r>
        <w:t xml:space="preserve"> wird der Bedarf nach einheimischem Raps voraussichtlich auch in dieser Ernte nicht </w:t>
      </w:r>
      <w:r w:rsidR="00EB2866">
        <w:t xml:space="preserve">ganz </w:t>
      </w:r>
      <w:r>
        <w:t>gedeckt werden können</w:t>
      </w:r>
      <w:r w:rsidR="006A2F9F">
        <w:t xml:space="preserve">. </w:t>
      </w:r>
      <w:bookmarkStart w:id="14" w:name="_Hlk73540522"/>
      <w:r w:rsidR="006A2F9F">
        <w:t xml:space="preserve">Der Bio-Anteil an der Ölsaatenmenge </w:t>
      </w:r>
      <w:r w:rsidR="007B0D63">
        <w:t>sinkt</w:t>
      </w:r>
      <w:r w:rsidR="007B0D63">
        <w:t xml:space="preserve"> </w:t>
      </w:r>
      <w:r w:rsidR="005F282F">
        <w:t xml:space="preserve">dieses Jahr insgesamt um </w:t>
      </w:r>
      <w:r w:rsidR="00967F5A">
        <w:t>14.6</w:t>
      </w:r>
      <w:r w:rsidR="005F282F">
        <w:t xml:space="preserve">%, wobei </w:t>
      </w:r>
      <w:r w:rsidR="003C31D6">
        <w:t xml:space="preserve">insbesondere </w:t>
      </w:r>
      <w:r w:rsidR="00967F5A">
        <w:t>beim Raps</w:t>
      </w:r>
      <w:r w:rsidR="005F282F">
        <w:t xml:space="preserve"> im Bio-Bereich mit </w:t>
      </w:r>
      <w:r w:rsidR="00967F5A">
        <w:t>tieferen</w:t>
      </w:r>
      <w:r w:rsidR="00967F5A">
        <w:t xml:space="preserve"> </w:t>
      </w:r>
      <w:r w:rsidR="005F282F">
        <w:t>Mengen zu rechnen ist</w:t>
      </w:r>
      <w:r w:rsidR="007D4E9E">
        <w:t>.</w:t>
      </w:r>
      <w:bookmarkEnd w:id="14"/>
    </w:p>
    <w:p w14:paraId="1B22A8E8" w14:textId="7C4AEE8E" w:rsidR="004D78F0" w:rsidRPr="00847616" w:rsidRDefault="003F4A0A" w:rsidP="00847616">
      <w:pPr>
        <w:pStyle w:val="02Textnormal"/>
      </w:pPr>
      <w:bookmarkStart w:id="15" w:name="_Hlk169075891"/>
      <w:r w:rsidRPr="00847616">
        <w:t>D</w:t>
      </w:r>
      <w:r w:rsidR="00C71F9C" w:rsidRPr="00847616">
        <w:t xml:space="preserve">ie Eiweisspflanzenernte </w:t>
      </w:r>
      <w:r w:rsidRPr="00847616">
        <w:t xml:space="preserve">wird </w:t>
      </w:r>
      <w:r w:rsidR="00C71F9C" w:rsidRPr="00847616">
        <w:t xml:space="preserve">mit </w:t>
      </w:r>
      <w:r w:rsidR="00967F5A">
        <w:t>rund</w:t>
      </w:r>
      <w:r w:rsidR="00967F5A">
        <w:t xml:space="preserve"> </w:t>
      </w:r>
      <w:r w:rsidR="003C31D6" w:rsidRPr="00847616">
        <w:t>1</w:t>
      </w:r>
      <w:r w:rsidR="00967F5A">
        <w:t>1</w:t>
      </w:r>
      <w:r w:rsidR="003C31D6" w:rsidRPr="00847616">
        <w:t>’</w:t>
      </w:r>
      <w:r w:rsidR="003C31D6">
        <w:t>0</w:t>
      </w:r>
      <w:r w:rsidR="003C31D6" w:rsidRPr="00847616">
        <w:t xml:space="preserve">00 </w:t>
      </w:r>
      <w:r w:rsidR="00C71F9C" w:rsidRPr="00847616">
        <w:t xml:space="preserve">t verglichen mit </w:t>
      </w:r>
      <w:r w:rsidR="00967F5A">
        <w:t>dem</w:t>
      </w:r>
      <w:r w:rsidR="003C31D6">
        <w:t xml:space="preserve"> Vorjahr</w:t>
      </w:r>
      <w:r w:rsidR="00C71F9C" w:rsidRPr="00847616">
        <w:t xml:space="preserve"> </w:t>
      </w:r>
      <w:r w:rsidR="00967F5A">
        <w:t>tiefer</w:t>
      </w:r>
      <w:r w:rsidRPr="00847616">
        <w:t xml:space="preserve"> geschätzt</w:t>
      </w:r>
      <w:r w:rsidR="00967F5A">
        <w:t xml:space="preserve"> und</w:t>
      </w:r>
      <w:r w:rsidR="00C71F9C" w:rsidRPr="00847616">
        <w:t xml:space="preserve"> bleibt anteilmässig weiterhin bescheiden.</w:t>
      </w:r>
      <w:r w:rsidRPr="00847616">
        <w:t xml:space="preserve"> </w:t>
      </w:r>
    </w:p>
    <w:bookmarkEnd w:id="15"/>
    <w:p w14:paraId="7A056944" w14:textId="77777777" w:rsidR="003F4A0A" w:rsidRPr="00847616" w:rsidRDefault="003F4A0A" w:rsidP="00847616">
      <w:pPr>
        <w:pStyle w:val="02Textnormal"/>
      </w:pPr>
    </w:p>
    <w:p w14:paraId="1BFEB110" w14:textId="61AEB013" w:rsidR="00DD03A6" w:rsidRDefault="004D78F0" w:rsidP="004D78F0">
      <w:pPr>
        <w:pStyle w:val="02Textnormal"/>
      </w:pPr>
      <w:bookmarkStart w:id="16" w:name="_Hlk169075933"/>
      <w:r w:rsidRPr="00847616">
        <w:t>Bei der Interpretation der Zahlen gilt es zu beachten, dass die Schätzungen provisorisch</w:t>
      </w:r>
      <w:r w:rsidR="003C31D6">
        <w:t xml:space="preserve"> sind</w:t>
      </w:r>
      <w:r w:rsidRPr="00847616">
        <w:t>.</w:t>
      </w:r>
      <w:r w:rsidR="003F4A0A" w:rsidRPr="00847616">
        <w:t xml:space="preserve"> Dies ist bei der Interpretation der Ernteschätzung zu beachten. </w:t>
      </w:r>
      <w:bookmarkEnd w:id="16"/>
      <w:r w:rsidRPr="00847616">
        <w:t>Für eine Gesamtbeurteilung müssen deshalb die weiteren Erhebungen von swiss granum abgewartet werden.</w:t>
      </w:r>
    </w:p>
    <w:p w14:paraId="3436E20C" w14:textId="77777777" w:rsidR="00967F5A" w:rsidRPr="00DD03A6" w:rsidRDefault="00967F5A" w:rsidP="004D78F0">
      <w:pPr>
        <w:pStyle w:val="02Textnormal"/>
      </w:pPr>
    </w:p>
    <w:p w14:paraId="14DB6CA9" w14:textId="77777777" w:rsidR="00DD03A6" w:rsidRDefault="00DD03A6" w:rsidP="00BB7A11">
      <w:pPr>
        <w:pStyle w:val="02TextohneAbstand"/>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907CBE" w14:paraId="05B4AC49" w14:textId="77777777" w:rsidTr="003F57BF">
        <w:trPr>
          <w:cantSplit/>
        </w:trPr>
        <w:tc>
          <w:tcPr>
            <w:tcW w:w="9639" w:type="dxa"/>
            <w:tcBorders>
              <w:top w:val="single" w:sz="2" w:space="0" w:color="auto"/>
              <w:left w:val="single" w:sz="2" w:space="0" w:color="auto"/>
              <w:bottom w:val="single" w:sz="2" w:space="0" w:color="auto"/>
              <w:right w:val="single" w:sz="2" w:space="0" w:color="auto"/>
            </w:tcBorders>
          </w:tcPr>
          <w:p w14:paraId="731B0D81" w14:textId="77777777" w:rsidR="004D78F0" w:rsidRPr="004D78F0" w:rsidRDefault="004D78F0" w:rsidP="004D78F0">
            <w:pPr>
              <w:pStyle w:val="05BoxTitel"/>
            </w:pPr>
            <w:r w:rsidRPr="004D78F0">
              <w:t>Ernteschätzungen von swiss granum</w:t>
            </w:r>
          </w:p>
          <w:p w14:paraId="1133A7AF" w14:textId="034C62D2" w:rsidR="003D5C32" w:rsidRDefault="004D78F0" w:rsidP="004D78F0">
            <w:pPr>
              <w:pStyle w:val="05BoxText"/>
              <w:rPr>
                <w:noProof/>
              </w:rPr>
            </w:pPr>
            <w:r w:rsidRPr="004D78F0">
              <w:rPr>
                <w:noProof/>
              </w:rPr>
              <w:t>Swiss granum lässt vom Geschäftsbereich Agristat des Schweizerischen Bauernverbandes jeweils zwischen März und August mehrere Schätzungen der Anbauflächen und der Ernten von Getreide, Ölsaaten und Eiweisspflanzen vornehmen. Grundlagen der Schätzung bilden Saatgutverkäufe, Stichprobenerhebungen bei rund 1‘000 Getreide- und Ölsaatenproduzenten sowie die Ergebnisse der eidgenössischen Betriebsstrukturerhebung. Daneben werden weitere Parameter, wie etwa die klimatischen Bedingungen bei der Aussaat, die Saatgutrestposten oder die tatsächlich angebauten Flächen der vorangehenden Jahre bei den Schätzungen berücksichtigt.</w:t>
            </w:r>
          </w:p>
        </w:tc>
      </w:tr>
      <w:tr w:rsidR="00D67F44" w14:paraId="25D83690" w14:textId="77777777" w:rsidTr="003F57BF">
        <w:trPr>
          <w:cantSplit/>
          <w:trHeight w:hRule="exact" w:val="113"/>
        </w:trPr>
        <w:tc>
          <w:tcPr>
            <w:tcW w:w="9639" w:type="dxa"/>
            <w:tcBorders>
              <w:top w:val="single" w:sz="2" w:space="0" w:color="auto"/>
            </w:tcBorders>
            <w:tcMar>
              <w:top w:w="0" w:type="dxa"/>
              <w:bottom w:w="0" w:type="dxa"/>
            </w:tcMar>
          </w:tcPr>
          <w:p w14:paraId="7F421979" w14:textId="77777777" w:rsidR="00D67F44" w:rsidRDefault="00D67F44" w:rsidP="00D67F44">
            <w:pPr>
              <w:pStyle w:val="05BoxText"/>
            </w:pPr>
          </w:p>
        </w:tc>
      </w:tr>
    </w:tbl>
    <w:p w14:paraId="72B1F2AC" w14:textId="77777777" w:rsidR="00307738" w:rsidRDefault="00307738" w:rsidP="00BB7A11">
      <w:pPr>
        <w:pStyle w:val="02TextohneAbstand"/>
      </w:pPr>
    </w:p>
    <w:p w14:paraId="2FB7B1D0" w14:textId="77777777" w:rsidR="00DD03A6" w:rsidRDefault="00EC2B77" w:rsidP="00EC2B77">
      <w:pPr>
        <w:pStyle w:val="01Untertitel"/>
      </w:pPr>
      <w:r>
        <w:t>Downloads</w:t>
      </w:r>
    </w:p>
    <w:p w14:paraId="352D3FD2" w14:textId="77777777" w:rsidR="00EC2B77" w:rsidRDefault="00EC2B77" w:rsidP="00DE2EB7">
      <w:pPr>
        <w:pStyle w:val="02Textnormal"/>
        <w:tabs>
          <w:tab w:val="left" w:pos="737"/>
        </w:tabs>
      </w:pPr>
      <w:r>
        <w:t xml:space="preserve">Das Dokument ist in elektronischer Form unter </w:t>
      </w:r>
      <w:hyperlink r:id="rId11" w:history="1">
        <w:r w:rsidRPr="0090605B">
          <w:rPr>
            <w:rStyle w:val="Hyperlink"/>
          </w:rPr>
          <w:t>www.swissgranum.ch</w:t>
        </w:r>
      </w:hyperlink>
      <w:r>
        <w:t xml:space="preserve"> verfügbar.</w:t>
      </w:r>
    </w:p>
    <w:p w14:paraId="23F62B2A" w14:textId="77777777" w:rsidR="00EC2B77" w:rsidRDefault="00EC2B77" w:rsidP="00EC2B77">
      <w:pPr>
        <w:pStyle w:val="02Textnormal"/>
      </w:pPr>
    </w:p>
    <w:p w14:paraId="35E2B5DD" w14:textId="77777777" w:rsidR="004B3D4F" w:rsidRDefault="004B3D4F" w:rsidP="00EC2B77">
      <w:pPr>
        <w:pStyle w:val="01Untertitel"/>
        <w:sectPr w:rsidR="004B3D4F" w:rsidSect="00512B2B">
          <w:type w:val="continuous"/>
          <w:pgSz w:w="11906" w:h="16838" w:code="9"/>
          <w:pgMar w:top="1355" w:right="1134" w:bottom="1684" w:left="1134" w:header="397" w:footer="533" w:gutter="0"/>
          <w:cols w:space="708"/>
          <w:formProt w:val="0"/>
          <w:docGrid w:linePitch="360"/>
        </w:sectPr>
      </w:pPr>
    </w:p>
    <w:p w14:paraId="55679D53" w14:textId="77777777" w:rsidR="00EC2B77" w:rsidRDefault="00DE2EB7" w:rsidP="00DE2EB7">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sidR="00512B2B">
        <w:rPr>
          <w:noProof/>
        </w:rPr>
        <w:t>Kontaktperson</w:t>
      </w:r>
      <w:r>
        <w:fldChar w:fldCharType="end"/>
      </w:r>
    </w:p>
    <w:bookmarkStart w:id="17" w:name="SB1_1"/>
    <w:p w14:paraId="030B6248" w14:textId="77777777" w:rsidR="00EC2B77" w:rsidRDefault="003D7EC7" w:rsidP="00DE2EB7">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rsidR="004D78F0">
        <w:t>Stephan Scheuner, Direktor</w:t>
      </w:r>
      <w:r>
        <w:fldChar w:fldCharType="end"/>
      </w:r>
      <w:bookmarkEnd w:id="17"/>
    </w:p>
    <w:p w14:paraId="66C61190" w14:textId="2F4D4C31" w:rsidR="00EC2B77" w:rsidRDefault="00DE2EB7" w:rsidP="00DE2EB7">
      <w:pPr>
        <w:pStyle w:val="02TextohneAbstand"/>
        <w:tabs>
          <w:tab w:val="clear" w:pos="284"/>
          <w:tab w:val="clear" w:pos="567"/>
          <w:tab w:val="left" w:pos="1021"/>
          <w:tab w:val="left" w:pos="1191"/>
          <w:tab w:val="left" w:pos="1361"/>
          <w:tab w:val="left" w:pos="1531"/>
          <w:tab w:val="left" w:pos="1701"/>
        </w:tabs>
      </w:pPr>
      <w:r>
        <w:fldChar w:fldCharType="begin">
          <w:ffData>
            <w:name w:val=""/>
            <w:enabled/>
            <w:calcOnExit w:val="0"/>
            <w:textInput>
              <w:default w:val="Telefon"/>
            </w:textInput>
          </w:ffData>
        </w:fldChar>
      </w:r>
      <w:r>
        <w:instrText xml:space="preserve"> FORMTEXT </w:instrText>
      </w:r>
      <w:r>
        <w:fldChar w:fldCharType="separate"/>
      </w:r>
      <w:r w:rsidR="00512B2B">
        <w:rPr>
          <w:noProof/>
        </w:rPr>
        <w:t>Telefon</w:t>
      </w:r>
      <w:r>
        <w:fldChar w:fldCharType="end"/>
      </w:r>
      <w:r w:rsidR="00EC2B77">
        <w:tab/>
      </w:r>
      <w:bookmarkStart w:id="18" w:name="SB1_2"/>
      <w:r w:rsidR="003D7EC7">
        <w:fldChar w:fldCharType="begin">
          <w:ffData>
            <w:name w:val="SB1_2"/>
            <w:enabled/>
            <w:calcOnExit w:val="0"/>
            <w:textInput>
              <w:default w:val="031 385 72 72"/>
            </w:textInput>
          </w:ffData>
        </w:fldChar>
      </w:r>
      <w:r w:rsidR="003D7EC7">
        <w:instrText xml:space="preserve"> FORMTEXT </w:instrText>
      </w:r>
      <w:r w:rsidR="003D7EC7">
        <w:fldChar w:fldCharType="separate"/>
      </w:r>
      <w:r w:rsidR="004D78F0">
        <w:t>031 385 72 7</w:t>
      </w:r>
      <w:r w:rsidR="00FF5C99">
        <w:t>6 / 079 606 99 84</w:t>
      </w:r>
      <w:r w:rsidR="003D7EC7">
        <w:fldChar w:fldCharType="end"/>
      </w:r>
      <w:bookmarkEnd w:id="18"/>
    </w:p>
    <w:p w14:paraId="579C9E00" w14:textId="4ECD2163"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12B2B">
        <w:rPr>
          <w:noProof/>
        </w:rPr>
        <w:t>E-Mail</w:t>
      </w:r>
      <w:r>
        <w:fldChar w:fldCharType="end"/>
      </w:r>
      <w:r w:rsidR="00EC2B77">
        <w:tab/>
      </w:r>
      <w:bookmarkStart w:id="19" w:name="SB1_3"/>
      <w:r w:rsidR="0083460A">
        <w:fldChar w:fldCharType="begin">
          <w:ffData>
            <w:name w:val="SB1_3"/>
            <w:enabled/>
            <w:calcOnExit w:val="0"/>
            <w:textInput>
              <w:default w:val="info@raps.ch"/>
            </w:textInput>
          </w:ffData>
        </w:fldChar>
      </w:r>
      <w:r w:rsidR="0083460A">
        <w:instrText xml:space="preserve"> FORMTEXT </w:instrText>
      </w:r>
      <w:r w:rsidR="0083460A">
        <w:fldChar w:fldCharType="separate"/>
      </w:r>
      <w:r w:rsidR="004D78F0" w:rsidRPr="004D78F0">
        <w:t>scheuner@swissgranum.ch</w:t>
      </w:r>
      <w:r w:rsidR="0083460A">
        <w:fldChar w:fldCharType="end"/>
      </w:r>
      <w:bookmarkEnd w:id="19"/>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24F4" w14:textId="77777777" w:rsidR="003F16C9" w:rsidRDefault="003F16C9" w:rsidP="00FC34F4">
      <w:pPr>
        <w:spacing w:after="0" w:line="240" w:lineRule="auto"/>
      </w:pPr>
      <w:r>
        <w:separator/>
      </w:r>
    </w:p>
  </w:endnote>
  <w:endnote w:type="continuationSeparator" w:id="0">
    <w:p w14:paraId="1C4A16E9" w14:textId="77777777" w:rsidR="003F16C9" w:rsidRDefault="003F16C9"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FF46"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27735909" wp14:editId="0F2B75D4">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C5885E"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229A4E9B" w14:textId="77777777" w:rsidTr="00EA376D">
      <w:trPr>
        <w:cantSplit/>
        <w:trHeight w:hRule="exact" w:val="1021"/>
      </w:trPr>
      <w:tc>
        <w:tcPr>
          <w:tcW w:w="9639" w:type="dxa"/>
        </w:tcPr>
        <w:p w14:paraId="37285D91" w14:textId="77777777" w:rsidR="00512B2B" w:rsidRPr="00512B2B" w:rsidRDefault="00512B2B" w:rsidP="00512B2B">
          <w:pPr>
            <w:pStyle w:val="00Logozusatz"/>
            <w:rPr>
              <w:lang w:val="de-DE"/>
            </w:rPr>
          </w:pPr>
          <w:bookmarkStart w:id="2" w:name="partnerlogo"/>
        </w:p>
      </w:tc>
    </w:tr>
    <w:bookmarkEnd w:id="2"/>
  </w:tbl>
  <w:p w14:paraId="14C65C5D"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E362" w14:textId="77777777" w:rsidR="003F16C9" w:rsidRDefault="003F16C9" w:rsidP="00D12087">
      <w:pPr>
        <w:pStyle w:val="02TextohneAbstand"/>
      </w:pPr>
    </w:p>
  </w:footnote>
  <w:footnote w:type="continuationSeparator" w:id="0">
    <w:p w14:paraId="058171FC" w14:textId="77777777" w:rsidR="003F16C9" w:rsidRDefault="003F16C9" w:rsidP="000B096A">
      <w:pPr>
        <w:pStyle w:val="02TextohneAbstand"/>
      </w:pPr>
    </w:p>
  </w:footnote>
  <w:footnote w:type="continuationNotice" w:id="1">
    <w:p w14:paraId="2AA03CED" w14:textId="77777777" w:rsidR="003F16C9" w:rsidRDefault="003F16C9"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7F56"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11540B67" wp14:editId="60462989">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274D63A8" w14:textId="77777777" w:rsidR="008258D2" w:rsidRDefault="008258D2" w:rsidP="0043111E">
                          <w:pPr>
                            <w:pStyle w:val="00Adressblock"/>
                            <w:rPr>
                              <w:lang w:val="de-DE"/>
                            </w:rPr>
                          </w:pPr>
                          <w:r>
                            <w:rPr>
                              <w:lang w:val="de-DE"/>
                            </w:rPr>
                            <w:t>swiss granum</w:t>
                          </w:r>
                        </w:p>
                        <w:p w14:paraId="5EF4EC1C" w14:textId="77777777" w:rsidR="005A1EF0" w:rsidRDefault="005A1EF0" w:rsidP="0043111E">
                          <w:pPr>
                            <w:pStyle w:val="00Adressblock"/>
                            <w:rPr>
                              <w:lang w:val="de-DE"/>
                            </w:rPr>
                          </w:pPr>
                          <w:r>
                            <w:rPr>
                              <w:lang w:val="de-DE"/>
                            </w:rPr>
                            <w:t>Belpstrasse 26</w:t>
                          </w:r>
                        </w:p>
                        <w:p w14:paraId="7512E455" w14:textId="77777777" w:rsidR="008258D2" w:rsidRDefault="008258D2" w:rsidP="0043111E">
                          <w:pPr>
                            <w:pStyle w:val="00Adressblock"/>
                            <w:rPr>
                              <w:lang w:val="de-DE"/>
                            </w:rPr>
                          </w:pPr>
                          <w:r>
                            <w:rPr>
                              <w:lang w:val="de-DE"/>
                            </w:rPr>
                            <w:t>Postfach</w:t>
                          </w:r>
                        </w:p>
                        <w:p w14:paraId="70CE7BE0" w14:textId="77777777" w:rsidR="008258D2" w:rsidRDefault="008258D2" w:rsidP="0043111E">
                          <w:pPr>
                            <w:pStyle w:val="00Adressblock"/>
                            <w:rPr>
                              <w:lang w:val="de-DE"/>
                            </w:rPr>
                          </w:pPr>
                          <w:r>
                            <w:rPr>
                              <w:lang w:val="de-DE"/>
                            </w:rPr>
                            <w:t>3001 Bern</w:t>
                          </w:r>
                        </w:p>
                        <w:p w14:paraId="3C7328E7" w14:textId="77777777" w:rsidR="008258D2" w:rsidRDefault="008258D2" w:rsidP="0043111E">
                          <w:pPr>
                            <w:pStyle w:val="00Adressblock"/>
                            <w:rPr>
                              <w:lang w:val="de-DE"/>
                            </w:rPr>
                          </w:pPr>
                          <w:r>
                            <w:rPr>
                              <w:lang w:val="de-DE"/>
                            </w:rPr>
                            <w:t>Tel. +41 (0)31 385 72 72</w:t>
                          </w:r>
                        </w:p>
                        <w:p w14:paraId="28F4E862" w14:textId="77777777" w:rsidR="008258D2" w:rsidRPr="0025664B" w:rsidRDefault="008258D2" w:rsidP="0043111E">
                          <w:pPr>
                            <w:pStyle w:val="00Adressblock"/>
                            <w:rPr>
                              <w:lang w:val="fr-CH"/>
                            </w:rPr>
                          </w:pPr>
                          <w:r w:rsidRPr="0025664B">
                            <w:rPr>
                              <w:lang w:val="fr-CH"/>
                            </w:rPr>
                            <w:t>Fax +41 (0)31 385 72 75</w:t>
                          </w:r>
                        </w:p>
                        <w:p w14:paraId="5683AF7F"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14F0884F"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1540B67"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274D63A8" w14:textId="77777777" w:rsidR="008258D2" w:rsidRDefault="008258D2" w:rsidP="0043111E">
                    <w:pPr>
                      <w:pStyle w:val="00Adressblock"/>
                      <w:rPr>
                        <w:lang w:val="de-DE"/>
                      </w:rPr>
                    </w:pPr>
                    <w:r>
                      <w:rPr>
                        <w:lang w:val="de-DE"/>
                      </w:rPr>
                      <w:t>swiss granum</w:t>
                    </w:r>
                  </w:p>
                  <w:p w14:paraId="5EF4EC1C" w14:textId="77777777" w:rsidR="005A1EF0" w:rsidRDefault="005A1EF0" w:rsidP="0043111E">
                    <w:pPr>
                      <w:pStyle w:val="00Adressblock"/>
                      <w:rPr>
                        <w:lang w:val="de-DE"/>
                      </w:rPr>
                    </w:pPr>
                    <w:r>
                      <w:rPr>
                        <w:lang w:val="de-DE"/>
                      </w:rPr>
                      <w:t>Belpstrasse 26</w:t>
                    </w:r>
                  </w:p>
                  <w:p w14:paraId="7512E455" w14:textId="77777777" w:rsidR="008258D2" w:rsidRDefault="008258D2" w:rsidP="0043111E">
                    <w:pPr>
                      <w:pStyle w:val="00Adressblock"/>
                      <w:rPr>
                        <w:lang w:val="de-DE"/>
                      </w:rPr>
                    </w:pPr>
                    <w:r>
                      <w:rPr>
                        <w:lang w:val="de-DE"/>
                      </w:rPr>
                      <w:t>Postfach</w:t>
                    </w:r>
                  </w:p>
                  <w:p w14:paraId="70CE7BE0" w14:textId="77777777" w:rsidR="008258D2" w:rsidRDefault="008258D2" w:rsidP="0043111E">
                    <w:pPr>
                      <w:pStyle w:val="00Adressblock"/>
                      <w:rPr>
                        <w:lang w:val="de-DE"/>
                      </w:rPr>
                    </w:pPr>
                    <w:r>
                      <w:rPr>
                        <w:lang w:val="de-DE"/>
                      </w:rPr>
                      <w:t>3001 Bern</w:t>
                    </w:r>
                  </w:p>
                  <w:p w14:paraId="3C7328E7" w14:textId="77777777" w:rsidR="008258D2" w:rsidRDefault="008258D2" w:rsidP="0043111E">
                    <w:pPr>
                      <w:pStyle w:val="00Adressblock"/>
                      <w:rPr>
                        <w:lang w:val="de-DE"/>
                      </w:rPr>
                    </w:pPr>
                    <w:r>
                      <w:rPr>
                        <w:lang w:val="de-DE"/>
                      </w:rPr>
                      <w:t>Tel. +41 (0)31 385 72 72</w:t>
                    </w:r>
                  </w:p>
                  <w:p w14:paraId="28F4E862" w14:textId="77777777" w:rsidR="008258D2" w:rsidRPr="0025664B" w:rsidRDefault="008258D2" w:rsidP="0043111E">
                    <w:pPr>
                      <w:pStyle w:val="00Adressblock"/>
                      <w:rPr>
                        <w:lang w:val="fr-CH"/>
                      </w:rPr>
                    </w:pPr>
                    <w:r w:rsidRPr="0025664B">
                      <w:rPr>
                        <w:lang w:val="fr-CH"/>
                      </w:rPr>
                      <w:t>Fax +41 (0)31 385 72 75</w:t>
                    </w:r>
                  </w:p>
                  <w:p w14:paraId="5683AF7F"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14F0884F"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7EB452AB" wp14:editId="66D46B85">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879AEF5" w14:textId="77777777" w:rsidR="008258D2" w:rsidRDefault="008258D2" w:rsidP="0043111E">
                          <w:pPr>
                            <w:pStyle w:val="00Logozusatz"/>
                          </w:pPr>
                          <w:r>
                            <w:t>Schweizerische Branchenorganisation Getreide, Ölsaaten und Eiweisspflanzen</w:t>
                          </w:r>
                        </w:p>
                        <w:p w14:paraId="0F39A8CD"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7EB452AB"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879AEF5" w14:textId="77777777" w:rsidR="008258D2" w:rsidRDefault="008258D2" w:rsidP="0043111E">
                    <w:pPr>
                      <w:pStyle w:val="00Logozusatz"/>
                    </w:pPr>
                    <w:r>
                      <w:t>Schweizerische Branchenorganisation Getreide, Ölsaaten und Eiweisspflanzen</w:t>
                    </w:r>
                  </w:p>
                  <w:p w14:paraId="0F39A8CD"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7E2DC1D4" wp14:editId="3C71CD2A">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94F202"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74D89481" wp14:editId="33C6074F">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1DF479"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4F1331A6" wp14:editId="2E647FE1">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608A94A8" wp14:editId="3F75DA88">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8798236">
    <w:abstractNumId w:val="16"/>
  </w:num>
  <w:num w:numId="2" w16cid:durableId="1991598500">
    <w:abstractNumId w:val="0"/>
  </w:num>
  <w:num w:numId="3" w16cid:durableId="1346131520">
    <w:abstractNumId w:val="3"/>
  </w:num>
  <w:num w:numId="4" w16cid:durableId="531459792">
    <w:abstractNumId w:val="13"/>
  </w:num>
  <w:num w:numId="5" w16cid:durableId="801465193">
    <w:abstractNumId w:val="13"/>
  </w:num>
  <w:num w:numId="6" w16cid:durableId="1455909386">
    <w:abstractNumId w:val="11"/>
  </w:num>
  <w:num w:numId="7" w16cid:durableId="1505701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141535">
    <w:abstractNumId w:val="6"/>
  </w:num>
  <w:num w:numId="9" w16cid:durableId="1365212449">
    <w:abstractNumId w:val="5"/>
  </w:num>
  <w:num w:numId="10" w16cid:durableId="1098718286">
    <w:abstractNumId w:val="8"/>
  </w:num>
  <w:num w:numId="11" w16cid:durableId="128977257">
    <w:abstractNumId w:val="10"/>
  </w:num>
  <w:num w:numId="12" w16cid:durableId="789861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6513226">
    <w:abstractNumId w:val="1"/>
  </w:num>
  <w:num w:numId="14" w16cid:durableId="1242444574">
    <w:abstractNumId w:val="15"/>
  </w:num>
  <w:num w:numId="15" w16cid:durableId="166332039">
    <w:abstractNumId w:val="12"/>
  </w:num>
  <w:num w:numId="16" w16cid:durableId="1850212521">
    <w:abstractNumId w:val="14"/>
  </w:num>
  <w:num w:numId="17" w16cid:durableId="709450809">
    <w:abstractNumId w:val="7"/>
  </w:num>
  <w:num w:numId="18" w16cid:durableId="2010327421">
    <w:abstractNumId w:val="2"/>
  </w:num>
  <w:num w:numId="19" w16cid:durableId="1303778027">
    <w:abstractNumId w:val="4"/>
  </w:num>
  <w:num w:numId="20" w16cid:durableId="2128816167">
    <w:abstractNumId w:val="9"/>
  </w:num>
  <w:num w:numId="21" w16cid:durableId="1104493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780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trackRevisions/>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F0"/>
    <w:rsid w:val="000071FE"/>
    <w:rsid w:val="0000791A"/>
    <w:rsid w:val="00010772"/>
    <w:rsid w:val="000227A3"/>
    <w:rsid w:val="00037C6D"/>
    <w:rsid w:val="000415DD"/>
    <w:rsid w:val="00067595"/>
    <w:rsid w:val="000B096A"/>
    <w:rsid w:val="00106B13"/>
    <w:rsid w:val="0012771E"/>
    <w:rsid w:val="00132F25"/>
    <w:rsid w:val="00156B74"/>
    <w:rsid w:val="001578CF"/>
    <w:rsid w:val="00171AF0"/>
    <w:rsid w:val="00175D94"/>
    <w:rsid w:val="00190370"/>
    <w:rsid w:val="00197198"/>
    <w:rsid w:val="001B51B6"/>
    <w:rsid w:val="001B5808"/>
    <w:rsid w:val="001F3912"/>
    <w:rsid w:val="00211B22"/>
    <w:rsid w:val="00244E16"/>
    <w:rsid w:val="00245659"/>
    <w:rsid w:val="00247FAF"/>
    <w:rsid w:val="00250FD3"/>
    <w:rsid w:val="0025664B"/>
    <w:rsid w:val="0025706D"/>
    <w:rsid w:val="002713A6"/>
    <w:rsid w:val="00282011"/>
    <w:rsid w:val="002A1673"/>
    <w:rsid w:val="002A5ACF"/>
    <w:rsid w:val="002B750C"/>
    <w:rsid w:val="002C5A68"/>
    <w:rsid w:val="002C6AA0"/>
    <w:rsid w:val="002D099C"/>
    <w:rsid w:val="002E6D06"/>
    <w:rsid w:val="00307738"/>
    <w:rsid w:val="003327CD"/>
    <w:rsid w:val="003375B8"/>
    <w:rsid w:val="0036570F"/>
    <w:rsid w:val="00386383"/>
    <w:rsid w:val="003901E4"/>
    <w:rsid w:val="003C31D6"/>
    <w:rsid w:val="003D5C32"/>
    <w:rsid w:val="003D7EC7"/>
    <w:rsid w:val="003F144C"/>
    <w:rsid w:val="003F16C9"/>
    <w:rsid w:val="003F4A0A"/>
    <w:rsid w:val="003F57BF"/>
    <w:rsid w:val="003F5B0F"/>
    <w:rsid w:val="00404BD6"/>
    <w:rsid w:val="0043111E"/>
    <w:rsid w:val="004355A7"/>
    <w:rsid w:val="0044251C"/>
    <w:rsid w:val="00471773"/>
    <w:rsid w:val="004927E2"/>
    <w:rsid w:val="00497EC5"/>
    <w:rsid w:val="004A3044"/>
    <w:rsid w:val="004A6C3D"/>
    <w:rsid w:val="004B3D4F"/>
    <w:rsid w:val="004C4AF8"/>
    <w:rsid w:val="004D6368"/>
    <w:rsid w:val="004D78F0"/>
    <w:rsid w:val="004D7FB1"/>
    <w:rsid w:val="00502F7C"/>
    <w:rsid w:val="00512B2B"/>
    <w:rsid w:val="005275C1"/>
    <w:rsid w:val="005368D9"/>
    <w:rsid w:val="005400E7"/>
    <w:rsid w:val="00545C40"/>
    <w:rsid w:val="00587E0C"/>
    <w:rsid w:val="005935B3"/>
    <w:rsid w:val="005A1EF0"/>
    <w:rsid w:val="005B6BCC"/>
    <w:rsid w:val="005C031C"/>
    <w:rsid w:val="005D0CE5"/>
    <w:rsid w:val="005D2984"/>
    <w:rsid w:val="005D6C2F"/>
    <w:rsid w:val="005F282F"/>
    <w:rsid w:val="005F6962"/>
    <w:rsid w:val="00617713"/>
    <w:rsid w:val="00624CFE"/>
    <w:rsid w:val="00624F7A"/>
    <w:rsid w:val="00625F83"/>
    <w:rsid w:val="00633FF3"/>
    <w:rsid w:val="006715FA"/>
    <w:rsid w:val="006833E7"/>
    <w:rsid w:val="00690DA9"/>
    <w:rsid w:val="006A2F9F"/>
    <w:rsid w:val="006B3910"/>
    <w:rsid w:val="0071230E"/>
    <w:rsid w:val="00726BE8"/>
    <w:rsid w:val="00731981"/>
    <w:rsid w:val="00746FF3"/>
    <w:rsid w:val="00756FD0"/>
    <w:rsid w:val="00794EA2"/>
    <w:rsid w:val="007A6A61"/>
    <w:rsid w:val="007B0D63"/>
    <w:rsid w:val="007C4B02"/>
    <w:rsid w:val="007D2785"/>
    <w:rsid w:val="007D4E9E"/>
    <w:rsid w:val="007D6555"/>
    <w:rsid w:val="007E03C8"/>
    <w:rsid w:val="007E6268"/>
    <w:rsid w:val="007E6522"/>
    <w:rsid w:val="007E7E78"/>
    <w:rsid w:val="008064B4"/>
    <w:rsid w:val="008258D2"/>
    <w:rsid w:val="00832C43"/>
    <w:rsid w:val="0083460A"/>
    <w:rsid w:val="00843E15"/>
    <w:rsid w:val="008450AB"/>
    <w:rsid w:val="00847616"/>
    <w:rsid w:val="00872EAF"/>
    <w:rsid w:val="0088757F"/>
    <w:rsid w:val="00896FA2"/>
    <w:rsid w:val="00897544"/>
    <w:rsid w:val="008A68E6"/>
    <w:rsid w:val="008B0037"/>
    <w:rsid w:val="008E65D6"/>
    <w:rsid w:val="008F377E"/>
    <w:rsid w:val="00907CBE"/>
    <w:rsid w:val="00940440"/>
    <w:rsid w:val="00940E74"/>
    <w:rsid w:val="009522E1"/>
    <w:rsid w:val="00957C2E"/>
    <w:rsid w:val="00967F5A"/>
    <w:rsid w:val="009718FD"/>
    <w:rsid w:val="0098407A"/>
    <w:rsid w:val="00993F8E"/>
    <w:rsid w:val="009C4BAF"/>
    <w:rsid w:val="009E3B07"/>
    <w:rsid w:val="009E59BF"/>
    <w:rsid w:val="00A246AF"/>
    <w:rsid w:val="00A32DA6"/>
    <w:rsid w:val="00A33524"/>
    <w:rsid w:val="00A337D8"/>
    <w:rsid w:val="00A419B6"/>
    <w:rsid w:val="00A47CB8"/>
    <w:rsid w:val="00A5472C"/>
    <w:rsid w:val="00A60D78"/>
    <w:rsid w:val="00A76DEB"/>
    <w:rsid w:val="00A80907"/>
    <w:rsid w:val="00AA0E04"/>
    <w:rsid w:val="00AC599E"/>
    <w:rsid w:val="00AC70FD"/>
    <w:rsid w:val="00AD2513"/>
    <w:rsid w:val="00AD6C97"/>
    <w:rsid w:val="00AE2744"/>
    <w:rsid w:val="00AE3694"/>
    <w:rsid w:val="00AF68F4"/>
    <w:rsid w:val="00B00116"/>
    <w:rsid w:val="00B2511A"/>
    <w:rsid w:val="00B270A6"/>
    <w:rsid w:val="00B31AE3"/>
    <w:rsid w:val="00B66B02"/>
    <w:rsid w:val="00B67C97"/>
    <w:rsid w:val="00BA5AEB"/>
    <w:rsid w:val="00BB0A69"/>
    <w:rsid w:val="00BB2313"/>
    <w:rsid w:val="00BB66D1"/>
    <w:rsid w:val="00BB7A11"/>
    <w:rsid w:val="00BC21CC"/>
    <w:rsid w:val="00BC6422"/>
    <w:rsid w:val="00BD17D9"/>
    <w:rsid w:val="00BE3F91"/>
    <w:rsid w:val="00BF0304"/>
    <w:rsid w:val="00BF2A52"/>
    <w:rsid w:val="00C013ED"/>
    <w:rsid w:val="00C47F82"/>
    <w:rsid w:val="00C71F9C"/>
    <w:rsid w:val="00CB4890"/>
    <w:rsid w:val="00CB721C"/>
    <w:rsid w:val="00CC3E90"/>
    <w:rsid w:val="00CC4F18"/>
    <w:rsid w:val="00CD29F5"/>
    <w:rsid w:val="00CD4ADE"/>
    <w:rsid w:val="00CF1EF8"/>
    <w:rsid w:val="00CF1FC8"/>
    <w:rsid w:val="00D04072"/>
    <w:rsid w:val="00D05398"/>
    <w:rsid w:val="00D12087"/>
    <w:rsid w:val="00D27616"/>
    <w:rsid w:val="00D27EDF"/>
    <w:rsid w:val="00D62913"/>
    <w:rsid w:val="00D67F44"/>
    <w:rsid w:val="00D778DA"/>
    <w:rsid w:val="00D92795"/>
    <w:rsid w:val="00D95E8F"/>
    <w:rsid w:val="00DA1A87"/>
    <w:rsid w:val="00DD03A6"/>
    <w:rsid w:val="00DD3DF4"/>
    <w:rsid w:val="00DE2EB7"/>
    <w:rsid w:val="00E05A75"/>
    <w:rsid w:val="00E06A89"/>
    <w:rsid w:val="00E13079"/>
    <w:rsid w:val="00E268C5"/>
    <w:rsid w:val="00E30860"/>
    <w:rsid w:val="00E325C1"/>
    <w:rsid w:val="00E37DDD"/>
    <w:rsid w:val="00E52F6D"/>
    <w:rsid w:val="00E66A07"/>
    <w:rsid w:val="00E867F3"/>
    <w:rsid w:val="00EA626E"/>
    <w:rsid w:val="00EB2866"/>
    <w:rsid w:val="00EC2B77"/>
    <w:rsid w:val="00EF0866"/>
    <w:rsid w:val="00EF49FD"/>
    <w:rsid w:val="00F06C95"/>
    <w:rsid w:val="00F06F30"/>
    <w:rsid w:val="00F10A93"/>
    <w:rsid w:val="00F116EE"/>
    <w:rsid w:val="00F61F64"/>
    <w:rsid w:val="00F72EE8"/>
    <w:rsid w:val="00F7666D"/>
    <w:rsid w:val="00F870FC"/>
    <w:rsid w:val="00FA0F96"/>
    <w:rsid w:val="00FC34F4"/>
    <w:rsid w:val="00FE2473"/>
    <w:rsid w:val="00FF0A71"/>
    <w:rsid w:val="00FF374B"/>
    <w:rsid w:val="00FF5C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F3212"/>
  <w15:docId w15:val="{C6376181-8647-4DFA-9F3D-6DA79C14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character" w:styleId="Kommentarzeichen">
    <w:name w:val="annotation reference"/>
    <w:basedOn w:val="Absatz-Standardschriftart"/>
    <w:uiPriority w:val="99"/>
    <w:semiHidden/>
    <w:unhideWhenUsed/>
    <w:rsid w:val="00DA1A87"/>
    <w:rPr>
      <w:sz w:val="16"/>
      <w:szCs w:val="16"/>
    </w:rPr>
  </w:style>
  <w:style w:type="paragraph" w:styleId="Kommentartext">
    <w:name w:val="annotation text"/>
    <w:basedOn w:val="Standard"/>
    <w:link w:val="KommentartextZchn"/>
    <w:uiPriority w:val="99"/>
    <w:semiHidden/>
    <w:unhideWhenUsed/>
    <w:rsid w:val="00DA1A87"/>
    <w:pPr>
      <w:spacing w:line="240" w:lineRule="auto"/>
    </w:pPr>
  </w:style>
  <w:style w:type="character" w:customStyle="1" w:styleId="KommentartextZchn">
    <w:name w:val="Kommentartext Zchn"/>
    <w:basedOn w:val="Absatz-Standardschriftart"/>
    <w:link w:val="Kommentartext"/>
    <w:uiPriority w:val="99"/>
    <w:semiHidden/>
    <w:rsid w:val="00DA1A87"/>
    <w:rPr>
      <w:lang w:val="de-CH"/>
    </w:rPr>
  </w:style>
  <w:style w:type="paragraph" w:styleId="Kommentarthema">
    <w:name w:val="annotation subject"/>
    <w:basedOn w:val="Kommentartext"/>
    <w:next w:val="Kommentartext"/>
    <w:link w:val="KommentarthemaZchn"/>
    <w:uiPriority w:val="99"/>
    <w:semiHidden/>
    <w:unhideWhenUsed/>
    <w:rsid w:val="00DA1A87"/>
    <w:rPr>
      <w:b/>
      <w:bCs/>
    </w:rPr>
  </w:style>
  <w:style w:type="character" w:customStyle="1" w:styleId="KommentarthemaZchn">
    <w:name w:val="Kommentarthema Zchn"/>
    <w:basedOn w:val="KommentartextZchn"/>
    <w:link w:val="Kommentarthema"/>
    <w:uiPriority w:val="99"/>
    <w:semiHidden/>
    <w:rsid w:val="00DA1A87"/>
    <w:rPr>
      <w:b/>
      <w:bCs/>
      <w:lang w:val="de-CH"/>
    </w:rPr>
  </w:style>
  <w:style w:type="paragraph" w:styleId="berarbeitung">
    <w:name w:val="Revision"/>
    <w:hidden/>
    <w:uiPriority w:val="99"/>
    <w:semiHidden/>
    <w:rsid w:val="004A6C3D"/>
    <w:pPr>
      <w:spacing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780</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9</cp:revision>
  <cp:lastPrinted>2026-06-22T08:51:00Z</cp:lastPrinted>
  <dcterms:created xsi:type="dcterms:W3CDTF">2024-06-12T06:55:00Z</dcterms:created>
  <dcterms:modified xsi:type="dcterms:W3CDTF">2026-06-22T08:51:00Z</dcterms:modified>
</cp:coreProperties>
</file>